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bookmarkStart w:id="1" w:name="_MON_1587289850"/>
    <w:bookmarkEnd w:id="1"/>
    <w:p w14:paraId="278E4520" w14:textId="77777777" w:rsidR="00DD7701" w:rsidRDefault="00267019" w:rsidP="00D45569">
      <w:pPr>
        <w:rPr>
          <w:rFonts w:ascii="Times New Roman" w:hAnsi="Times New Roman"/>
        </w:rPr>
      </w:pPr>
      <w:r w:rsidRPr="00D45569">
        <w:rPr>
          <w:rFonts w:ascii="Times New Roman" w:hAnsi="Times New Roman"/>
          <w:noProof/>
        </w:rPr>
        <w:object w:dxaOrig="8640" w:dyaOrig="3750" w14:anchorId="60699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187.65pt;mso-width-percent:0;mso-height-percent:0;mso-width-percent:0;mso-height-percent:0" o:ole="">
            <v:imagedata r:id="rId8" o:title=""/>
          </v:shape>
          <o:OLEObject Type="Embed" ProgID="Word.Document.12" ShapeID="_x0000_i1025" DrawAspect="Content" ObjectID="_1633776861" r:id="rId9">
            <o:FieldCodes>\s</o:FieldCodes>
          </o:OLEObject>
        </w:object>
      </w:r>
    </w:p>
    <w:p w14:paraId="17FE9832" w14:textId="77777777" w:rsidR="00D45569" w:rsidRPr="00D45569" w:rsidRDefault="00D45569" w:rsidP="00D45569">
      <w:pPr>
        <w:rPr>
          <w:rFonts w:ascii="Times New Roman" w:hAnsi="Times New Roman"/>
        </w:rPr>
      </w:pPr>
      <w:r w:rsidRPr="00D45569">
        <w:rPr>
          <w:rFonts w:ascii="Times New Roman" w:hAnsi="Times New Roman"/>
        </w:rPr>
        <w:t>At the October 12 meeting</w:t>
      </w:r>
      <w:r w:rsidR="00DC7EA1">
        <w:rPr>
          <w:rFonts w:ascii="Times New Roman" w:hAnsi="Times New Roman"/>
        </w:rPr>
        <w:t xml:space="preserve"> of the Work Group</w:t>
      </w:r>
      <w:r w:rsidRPr="00D45569">
        <w:rPr>
          <w:rFonts w:ascii="Times New Roman" w:hAnsi="Times New Roman"/>
        </w:rPr>
        <w:t>, you asked for additional information in writing. Specifically, in the context of a discussion surrounding the applicability of the Workplace Harassment policy to registered lobbyists, you asked for: 1) Background information on the Oregon Government Ethics Commission’s role in administering the lobbyist registration statutes; 2) A review of Oregon free expression law</w:t>
      </w:r>
      <w:r>
        <w:rPr>
          <w:rFonts w:ascii="Times New Roman" w:hAnsi="Times New Roman"/>
        </w:rPr>
        <w:t xml:space="preserve"> addressing</w:t>
      </w:r>
      <w:r w:rsidRPr="00D45569">
        <w:rPr>
          <w:rFonts w:ascii="Times New Roman" w:hAnsi="Times New Roman"/>
        </w:rPr>
        <w:t xml:space="preserve"> lobbyists; and 3) Examples of approaches taken by other states to apply harassment policies to lobbyists. </w:t>
      </w:r>
    </w:p>
    <w:p w14:paraId="1D217927" w14:textId="77777777" w:rsidR="00D45569" w:rsidRPr="00D45569" w:rsidRDefault="00D45569" w:rsidP="00D45569">
      <w:pPr>
        <w:rPr>
          <w:rFonts w:ascii="Times New Roman" w:hAnsi="Times New Roman"/>
        </w:rPr>
      </w:pPr>
      <w:r w:rsidRPr="00D45569">
        <w:rPr>
          <w:rFonts w:ascii="Times New Roman" w:hAnsi="Times New Roman"/>
          <w:b/>
        </w:rPr>
        <w:t>Oregon Government Ethics Commission</w:t>
      </w:r>
    </w:p>
    <w:p w14:paraId="28318F7B" w14:textId="77777777" w:rsidR="00D45569" w:rsidRPr="00D45569" w:rsidRDefault="00D45569" w:rsidP="00D45569">
      <w:pPr>
        <w:rPr>
          <w:rFonts w:ascii="Times New Roman" w:hAnsi="Times New Roman"/>
        </w:rPr>
      </w:pPr>
      <w:r w:rsidRPr="00D45569">
        <w:rPr>
          <w:rFonts w:ascii="Times New Roman" w:hAnsi="Times New Roman"/>
        </w:rPr>
        <w:t xml:space="preserve">Oregon’s lobbyist registration scheme was adopted in 1973 and, as originally constituted, was administered by the Secretary of State. The following year, the voters approved a legislative referral creating the Oregon Government Ethics Commission (OGEC). Broadly speaking, this </w:t>
      </w:r>
      <w:r>
        <w:rPr>
          <w:rFonts w:ascii="Times New Roman" w:hAnsi="Times New Roman"/>
        </w:rPr>
        <w:t>legislation</w:t>
      </w:r>
      <w:r w:rsidRPr="00D45569">
        <w:rPr>
          <w:rFonts w:ascii="Times New Roman" w:hAnsi="Times New Roman"/>
        </w:rPr>
        <w:t xml:space="preserve"> was intended to prevent public officials from using their office for personal gain by, for example, requiring public officials to publicly disclose </w:t>
      </w:r>
      <w:r>
        <w:rPr>
          <w:rFonts w:ascii="Times New Roman" w:hAnsi="Times New Roman"/>
        </w:rPr>
        <w:t xml:space="preserve">personal </w:t>
      </w:r>
      <w:r w:rsidRPr="00D45569">
        <w:rPr>
          <w:rFonts w:ascii="Times New Roman" w:hAnsi="Times New Roman"/>
        </w:rPr>
        <w:t>financial information</w:t>
      </w:r>
      <w:r w:rsidR="00DC7EA1">
        <w:rPr>
          <w:rFonts w:ascii="Times New Roman" w:hAnsi="Times New Roman"/>
        </w:rPr>
        <w:t xml:space="preserve"> and</w:t>
      </w:r>
      <w:r w:rsidRPr="00D45569">
        <w:rPr>
          <w:rFonts w:ascii="Times New Roman" w:hAnsi="Times New Roman"/>
        </w:rPr>
        <w:t xml:space="preserve"> conflicts of interests and creating OGEC to enforce these </w:t>
      </w:r>
      <w:r w:rsidR="00194A08">
        <w:rPr>
          <w:rFonts w:ascii="Times New Roman" w:hAnsi="Times New Roman"/>
        </w:rPr>
        <w:t>obligations</w:t>
      </w:r>
      <w:r w:rsidRPr="00D45569">
        <w:rPr>
          <w:rFonts w:ascii="Times New Roman" w:hAnsi="Times New Roman"/>
        </w:rPr>
        <w:t>. Additionally, the 1974 referral transferred the responsibility to administer the then-nascent lobbying statutes from the Secretary of State to OGEC.</w:t>
      </w:r>
    </w:p>
    <w:p w14:paraId="105A3203" w14:textId="77777777" w:rsidR="00D45569" w:rsidRDefault="00D45569" w:rsidP="00D45569">
      <w:pPr>
        <w:rPr>
          <w:rFonts w:ascii="Times New Roman" w:hAnsi="Times New Roman"/>
        </w:rPr>
      </w:pPr>
      <w:r w:rsidRPr="00D45569">
        <w:rPr>
          <w:rFonts w:ascii="Times New Roman" w:hAnsi="Times New Roman"/>
        </w:rPr>
        <w:t xml:space="preserve">OGEC is a nine-member commission, with members appointed by the Governor. As a statutory matter, the Governor is required to select eight members based upon recommendations from the four </w:t>
      </w:r>
      <w:r w:rsidR="00DC7EA1">
        <w:rPr>
          <w:rFonts w:ascii="Times New Roman" w:hAnsi="Times New Roman"/>
        </w:rPr>
        <w:t>legislative caucuses (two each) and n</w:t>
      </w:r>
      <w:r w:rsidRPr="00D45569">
        <w:rPr>
          <w:rFonts w:ascii="Times New Roman" w:hAnsi="Times New Roman"/>
        </w:rPr>
        <w:t>o more than three of the nine members may belong to the same political party.</w:t>
      </w:r>
      <w:r w:rsidR="006640AE">
        <w:rPr>
          <w:rFonts w:ascii="Times New Roman" w:hAnsi="Times New Roman"/>
        </w:rPr>
        <w:t xml:space="preserve"> The commission continues to enforce an array of ethics laws.</w:t>
      </w:r>
      <w:r>
        <w:rPr>
          <w:rFonts w:ascii="Times New Roman" w:hAnsi="Times New Roman"/>
        </w:rPr>
        <w:t xml:space="preserve"> </w:t>
      </w:r>
    </w:p>
    <w:p w14:paraId="6F3D45C6" w14:textId="77777777" w:rsidR="00DC7EA1" w:rsidRDefault="00D45569" w:rsidP="00D45569">
      <w:pPr>
        <w:rPr>
          <w:rFonts w:ascii="Times New Roman" w:hAnsi="Times New Roman"/>
        </w:rPr>
      </w:pPr>
      <w:r w:rsidRPr="00D45569">
        <w:rPr>
          <w:rFonts w:ascii="Times New Roman" w:hAnsi="Times New Roman"/>
        </w:rPr>
        <w:t>The lobbying statutes have two primary components: registration and disclosure. ORS 171.740 requires a person who lobbies for consideration, or who spends specified amounts of time or money</w:t>
      </w:r>
      <w:r w:rsidR="00B370B7">
        <w:rPr>
          <w:rFonts w:ascii="Times New Roman" w:hAnsi="Times New Roman"/>
        </w:rPr>
        <w:t xml:space="preserve"> on</w:t>
      </w:r>
      <w:r w:rsidRPr="00D45569">
        <w:rPr>
          <w:rFonts w:ascii="Times New Roman" w:hAnsi="Times New Roman"/>
        </w:rPr>
        <w:t xml:space="preserve"> lobbying, to register with OGEC as a lobbyist and to identify the client</w:t>
      </w:r>
      <w:r w:rsidR="00DC7EA1">
        <w:rPr>
          <w:rFonts w:ascii="Times New Roman" w:hAnsi="Times New Roman"/>
        </w:rPr>
        <w:t>s</w:t>
      </w:r>
      <w:r w:rsidRPr="00D45569">
        <w:rPr>
          <w:rFonts w:ascii="Times New Roman" w:hAnsi="Times New Roman"/>
        </w:rPr>
        <w:t xml:space="preserve"> for whom the person lobbies. A second statute, ORS 171.745, requires registered lobbyists to file a document disclosing certain </w:t>
      </w:r>
      <w:r w:rsidR="00BD1ECD">
        <w:rPr>
          <w:rFonts w:ascii="Times New Roman" w:hAnsi="Times New Roman"/>
        </w:rPr>
        <w:t xml:space="preserve">lobbying-related </w:t>
      </w:r>
      <w:r w:rsidRPr="00D45569">
        <w:rPr>
          <w:rFonts w:ascii="Times New Roman" w:hAnsi="Times New Roman"/>
        </w:rPr>
        <w:t>expenditures (e.g. food and enter</w:t>
      </w:r>
      <w:r w:rsidR="00DC7EA1">
        <w:rPr>
          <w:rFonts w:ascii="Times New Roman" w:hAnsi="Times New Roman"/>
        </w:rPr>
        <w:t>tainment), while a third</w:t>
      </w:r>
      <w:r w:rsidRPr="00D45569">
        <w:rPr>
          <w:rFonts w:ascii="Times New Roman" w:hAnsi="Times New Roman"/>
        </w:rPr>
        <w:t xml:space="preserve">, ORS 171.750, imposes nearly identical disclosure obligations on the lobbyist’s client. </w:t>
      </w:r>
      <w:r w:rsidR="00DC7EA1">
        <w:rPr>
          <w:rFonts w:ascii="Times New Roman" w:hAnsi="Times New Roman"/>
        </w:rPr>
        <w:t>ORS 171.762 requires</w:t>
      </w:r>
      <w:r w:rsidRPr="00D45569">
        <w:rPr>
          <w:rFonts w:ascii="Times New Roman" w:hAnsi="Times New Roman"/>
        </w:rPr>
        <w:t xml:space="preserve"> that OGEC filings be made </w:t>
      </w:r>
      <w:r w:rsidR="00DC7EA1">
        <w:rPr>
          <w:rFonts w:ascii="Times New Roman" w:hAnsi="Times New Roman"/>
        </w:rPr>
        <w:t>under penalty of false swearing and</w:t>
      </w:r>
      <w:r w:rsidRPr="00D45569">
        <w:rPr>
          <w:rFonts w:ascii="Times New Roman" w:hAnsi="Times New Roman"/>
        </w:rPr>
        <w:t xml:space="preserve"> ORS 171.992 authorizes the enforcement of all of the above obligations via a civil penalty, in an amount up to $5,000, </w:t>
      </w:r>
      <w:r w:rsidRPr="002D2C21">
        <w:rPr>
          <w:rFonts w:ascii="Times New Roman" w:hAnsi="Times New Roman"/>
        </w:rPr>
        <w:t>either</w:t>
      </w:r>
      <w:r w:rsidRPr="00D45569">
        <w:rPr>
          <w:rFonts w:ascii="Times New Roman" w:hAnsi="Times New Roman"/>
        </w:rPr>
        <w:t xml:space="preserve"> in court or under the Administrative Procedures Act. </w:t>
      </w:r>
    </w:p>
    <w:p w14:paraId="1CAAAEF9" w14:textId="77777777" w:rsidR="00F73101" w:rsidRDefault="00D45569" w:rsidP="00D45569">
      <w:pPr>
        <w:rPr>
          <w:rFonts w:ascii="Times New Roman" w:hAnsi="Times New Roman"/>
        </w:rPr>
      </w:pPr>
      <w:r w:rsidRPr="00D45569">
        <w:rPr>
          <w:rFonts w:ascii="Times New Roman" w:hAnsi="Times New Roman"/>
        </w:rPr>
        <w:lastRenderedPageBreak/>
        <w:t xml:space="preserve">In addition to these </w:t>
      </w:r>
      <w:r w:rsidR="00BD1ECD">
        <w:rPr>
          <w:rFonts w:ascii="Times New Roman" w:hAnsi="Times New Roman"/>
        </w:rPr>
        <w:t>more comprehensive provisions</w:t>
      </w:r>
      <w:r w:rsidRPr="00D45569">
        <w:rPr>
          <w:rFonts w:ascii="Times New Roman" w:hAnsi="Times New Roman"/>
        </w:rPr>
        <w:t>, there are t</w:t>
      </w:r>
      <w:r w:rsidR="004C75DF">
        <w:rPr>
          <w:rFonts w:ascii="Times New Roman" w:hAnsi="Times New Roman"/>
        </w:rPr>
        <w:t>hree</w:t>
      </w:r>
      <w:r w:rsidRPr="00D45569">
        <w:rPr>
          <w:rFonts w:ascii="Times New Roman" w:hAnsi="Times New Roman"/>
        </w:rPr>
        <w:t xml:space="preserve"> specific</w:t>
      </w:r>
      <w:r w:rsidR="00DC791B">
        <w:rPr>
          <w:rFonts w:ascii="Times New Roman" w:hAnsi="Times New Roman"/>
        </w:rPr>
        <w:t xml:space="preserve"> lobby-related</w:t>
      </w:r>
      <w:r w:rsidRPr="00D45569">
        <w:rPr>
          <w:rFonts w:ascii="Times New Roman" w:hAnsi="Times New Roman"/>
        </w:rPr>
        <w:t xml:space="preserve"> statutes worth mentioning</w:t>
      </w:r>
      <w:r w:rsidR="002D2C21">
        <w:rPr>
          <w:rFonts w:ascii="Times New Roman" w:hAnsi="Times New Roman"/>
        </w:rPr>
        <w:t xml:space="preserve">. </w:t>
      </w:r>
      <w:r w:rsidR="004C75DF">
        <w:rPr>
          <w:rFonts w:ascii="Times New Roman" w:hAnsi="Times New Roman"/>
        </w:rPr>
        <w:t>First, ORS 171.756 identifies four prohibited acts that a lobbyist may not engage in</w:t>
      </w:r>
      <w:r w:rsidR="00F73101">
        <w:rPr>
          <w:rFonts w:ascii="Times New Roman" w:hAnsi="Times New Roman"/>
        </w:rPr>
        <w:t xml:space="preserve">. Under the statute, </w:t>
      </w:r>
      <w:r w:rsidR="002D2C21">
        <w:rPr>
          <w:rFonts w:ascii="Times New Roman" w:hAnsi="Times New Roman"/>
        </w:rPr>
        <w:t>punishable</w:t>
      </w:r>
      <w:r w:rsidR="00F73101">
        <w:rPr>
          <w:rFonts w:ascii="Times New Roman" w:hAnsi="Times New Roman"/>
        </w:rPr>
        <w:t xml:space="preserve"> by civil penalty of not more than $5,000, a lobbyist may not:</w:t>
      </w:r>
    </w:p>
    <w:p w14:paraId="5B074B9D" w14:textId="77777777" w:rsidR="00F73101" w:rsidRPr="00F73101" w:rsidRDefault="00F73101" w:rsidP="00D45569">
      <w:pPr>
        <w:pStyle w:val="ListParagraph"/>
        <w:numPr>
          <w:ilvl w:val="0"/>
          <w:numId w:val="29"/>
        </w:numPr>
        <w:rPr>
          <w:rFonts w:ascii="Times New Roman" w:hAnsi="Times New Roman"/>
        </w:rPr>
      </w:pPr>
      <w:r w:rsidRPr="00F73101">
        <w:rPr>
          <w:rFonts w:ascii="Times New Roman" w:hAnsi="Times New Roman"/>
        </w:rPr>
        <w:t>Instigate the introduction of a legislative measure in order to gain employment to lobby against the measure.</w:t>
      </w:r>
    </w:p>
    <w:p w14:paraId="41ECB8FA" w14:textId="77777777" w:rsidR="00F73101" w:rsidRPr="00F73101" w:rsidRDefault="00F73101" w:rsidP="00D45569">
      <w:pPr>
        <w:pStyle w:val="ListParagraph"/>
        <w:numPr>
          <w:ilvl w:val="0"/>
          <w:numId w:val="29"/>
        </w:numPr>
        <w:rPr>
          <w:rFonts w:ascii="Times New Roman" w:hAnsi="Times New Roman"/>
        </w:rPr>
      </w:pPr>
      <w:r w:rsidRPr="00F73101">
        <w:rPr>
          <w:rFonts w:ascii="Times New Roman" w:hAnsi="Times New Roman"/>
        </w:rPr>
        <w:t>Attempt to influence the vote of a legislator by promising financial support or opposition at a future election.</w:t>
      </w:r>
    </w:p>
    <w:p w14:paraId="31811AB9" w14:textId="77777777" w:rsidR="00F73101" w:rsidRPr="00F73101" w:rsidRDefault="00F73101" w:rsidP="00D45569">
      <w:pPr>
        <w:pStyle w:val="ListParagraph"/>
        <w:numPr>
          <w:ilvl w:val="0"/>
          <w:numId w:val="29"/>
        </w:numPr>
        <w:rPr>
          <w:rFonts w:ascii="Times New Roman" w:hAnsi="Times New Roman"/>
        </w:rPr>
      </w:pPr>
      <w:r w:rsidRPr="00F73101">
        <w:rPr>
          <w:rFonts w:ascii="Times New Roman" w:hAnsi="Times New Roman"/>
        </w:rPr>
        <w:t>Enter into a contingency fee ar</w:t>
      </w:r>
      <w:r w:rsidR="00DC7EA1">
        <w:rPr>
          <w:rFonts w:ascii="Times New Roman" w:hAnsi="Times New Roman"/>
        </w:rPr>
        <w:t>rangement predicated on successful lobbying.</w:t>
      </w:r>
    </w:p>
    <w:p w14:paraId="40EB051F" w14:textId="77777777" w:rsidR="00F73101" w:rsidRPr="00F73101" w:rsidRDefault="00F73101" w:rsidP="00D45569">
      <w:pPr>
        <w:pStyle w:val="ListParagraph"/>
        <w:numPr>
          <w:ilvl w:val="0"/>
          <w:numId w:val="29"/>
        </w:numPr>
        <w:rPr>
          <w:rFonts w:ascii="Times New Roman" w:hAnsi="Times New Roman"/>
        </w:rPr>
      </w:pPr>
      <w:r w:rsidRPr="00F73101">
        <w:rPr>
          <w:rFonts w:ascii="Times New Roman" w:hAnsi="Times New Roman"/>
        </w:rPr>
        <w:t>Receive compensation as a lobbyist from a private source, if the lobbyist is a legislative or executive branch official.</w:t>
      </w:r>
    </w:p>
    <w:p w14:paraId="13304EE8" w14:textId="77777777" w:rsidR="00D45569" w:rsidRPr="00D45569" w:rsidRDefault="00F73101" w:rsidP="00D45569">
      <w:pPr>
        <w:rPr>
          <w:rFonts w:ascii="Times New Roman" w:hAnsi="Times New Roman"/>
        </w:rPr>
      </w:pPr>
      <w:r>
        <w:rPr>
          <w:rFonts w:ascii="Times New Roman" w:hAnsi="Times New Roman"/>
        </w:rPr>
        <w:t xml:space="preserve">Second, ORS 171.764 </w:t>
      </w:r>
      <w:r w:rsidR="00D45569" w:rsidRPr="00D45569">
        <w:rPr>
          <w:rFonts w:ascii="Times New Roman" w:hAnsi="Times New Roman"/>
        </w:rPr>
        <w:t xml:space="preserve">prohibits a “lobbyist or public official” from making certain intentionally false statements “to any legislative or executive official.” </w:t>
      </w:r>
      <w:r w:rsidR="002D2C21">
        <w:rPr>
          <w:rFonts w:ascii="Times New Roman" w:hAnsi="Times New Roman"/>
        </w:rPr>
        <w:t xml:space="preserve">The penalty under </w:t>
      </w:r>
      <w:r>
        <w:rPr>
          <w:rFonts w:ascii="Times New Roman" w:hAnsi="Times New Roman"/>
        </w:rPr>
        <w:t xml:space="preserve">ORS 171.992 </w:t>
      </w:r>
      <w:r w:rsidR="002D2C21">
        <w:rPr>
          <w:rFonts w:ascii="Times New Roman" w:hAnsi="Times New Roman"/>
        </w:rPr>
        <w:t xml:space="preserve">for violating this provision </w:t>
      </w:r>
      <w:r>
        <w:rPr>
          <w:rFonts w:ascii="Times New Roman" w:hAnsi="Times New Roman"/>
        </w:rPr>
        <w:t>is less than clear</w:t>
      </w:r>
      <w:r w:rsidR="002D2C21">
        <w:rPr>
          <w:rFonts w:ascii="Times New Roman" w:hAnsi="Times New Roman"/>
        </w:rPr>
        <w:t>.</w:t>
      </w:r>
      <w:r>
        <w:rPr>
          <w:rFonts w:ascii="Times New Roman" w:hAnsi="Times New Roman"/>
        </w:rPr>
        <w:t xml:space="preserve"> </w:t>
      </w:r>
      <w:r w:rsidR="004C75DF">
        <w:rPr>
          <w:rFonts w:ascii="Times New Roman" w:hAnsi="Times New Roman"/>
        </w:rPr>
        <w:t>Finally</w:t>
      </w:r>
      <w:r w:rsidR="00D45569" w:rsidRPr="00D45569">
        <w:rPr>
          <w:rFonts w:ascii="Times New Roman" w:hAnsi="Times New Roman"/>
        </w:rPr>
        <w:t>, in what may very well be a</w:t>
      </w:r>
      <w:r>
        <w:rPr>
          <w:rFonts w:ascii="Times New Roman" w:hAnsi="Times New Roman"/>
        </w:rPr>
        <w:t>n express</w:t>
      </w:r>
      <w:r w:rsidR="00D45569" w:rsidRPr="00D45569">
        <w:rPr>
          <w:rFonts w:ascii="Times New Roman" w:hAnsi="Times New Roman"/>
        </w:rPr>
        <w:t xml:space="preserve"> reservation of constitutional authority, ORS 171.785 reserves to each house the authority to impose sanctions for specified statutory violations</w:t>
      </w:r>
      <w:r w:rsidR="002D2C21">
        <w:rPr>
          <w:rFonts w:ascii="Times New Roman" w:hAnsi="Times New Roman"/>
        </w:rPr>
        <w:t xml:space="preserve"> of the lobbyist registration statutes</w:t>
      </w:r>
      <w:r w:rsidR="00D45569" w:rsidRPr="00D45569">
        <w:rPr>
          <w:rFonts w:ascii="Times New Roman" w:hAnsi="Times New Roman"/>
        </w:rPr>
        <w:t>.</w:t>
      </w:r>
    </w:p>
    <w:p w14:paraId="3F4FC930" w14:textId="77777777" w:rsidR="00D45569" w:rsidRPr="00D45569" w:rsidRDefault="00D45569" w:rsidP="00D45569">
      <w:pPr>
        <w:rPr>
          <w:rFonts w:ascii="Times New Roman" w:hAnsi="Times New Roman"/>
        </w:rPr>
      </w:pPr>
      <w:r w:rsidRPr="00D45569">
        <w:rPr>
          <w:rFonts w:ascii="Times New Roman" w:hAnsi="Times New Roman"/>
          <w:b/>
        </w:rPr>
        <w:t>Lobbying and the Oregon Constitution</w:t>
      </w:r>
    </w:p>
    <w:p w14:paraId="72E60509" w14:textId="77777777" w:rsidR="00D45569" w:rsidRPr="00D45569" w:rsidRDefault="00D45569" w:rsidP="00D45569">
      <w:pPr>
        <w:rPr>
          <w:rFonts w:ascii="Times New Roman" w:hAnsi="Times New Roman"/>
        </w:rPr>
      </w:pPr>
      <w:r w:rsidRPr="00D45569">
        <w:rPr>
          <w:rFonts w:ascii="Times New Roman" w:hAnsi="Times New Roman"/>
        </w:rPr>
        <w:t xml:space="preserve">In 1993, the lobbyist registration scheme was amended to require certain registered lobbyists to pay a registration fee. Several years later this fee was subject to an Article I, section 8 challenge in </w:t>
      </w:r>
      <w:proofErr w:type="spellStart"/>
      <w:r w:rsidRPr="00D45569">
        <w:rPr>
          <w:rFonts w:ascii="Times New Roman" w:hAnsi="Times New Roman"/>
          <w:i/>
        </w:rPr>
        <w:t>Fidanque</w:t>
      </w:r>
      <w:proofErr w:type="spellEnd"/>
      <w:r w:rsidRPr="00D45569">
        <w:rPr>
          <w:rFonts w:ascii="Times New Roman" w:hAnsi="Times New Roman"/>
          <w:i/>
        </w:rPr>
        <w:t xml:space="preserve"> v. Oregon Government Standards and Practices Commission</w:t>
      </w:r>
      <w:r w:rsidRPr="00D45569">
        <w:rPr>
          <w:rFonts w:ascii="Times New Roman" w:hAnsi="Times New Roman"/>
        </w:rPr>
        <w:t xml:space="preserve">, 328 Or. 1 (1998). Significantly, the plaintiffs in </w:t>
      </w:r>
      <w:proofErr w:type="spellStart"/>
      <w:r w:rsidRPr="00D45569">
        <w:rPr>
          <w:rFonts w:ascii="Times New Roman" w:hAnsi="Times New Roman"/>
          <w:i/>
        </w:rPr>
        <w:t>Fidanque</w:t>
      </w:r>
      <w:proofErr w:type="spellEnd"/>
      <w:r w:rsidRPr="00D45569">
        <w:rPr>
          <w:rFonts w:ascii="Times New Roman" w:hAnsi="Times New Roman"/>
        </w:rPr>
        <w:t xml:space="preserve"> did not challenge “the preexisting statutory requirements that they register with the state and disclose certain aspects of their lobbying activities. Their sole objection is to the additional imposition of a registration fee.” </w:t>
      </w:r>
      <w:r w:rsidRPr="00D45569">
        <w:rPr>
          <w:rFonts w:ascii="Times New Roman" w:hAnsi="Times New Roman"/>
          <w:i/>
        </w:rPr>
        <w:t>Id</w:t>
      </w:r>
      <w:r w:rsidRPr="00D45569">
        <w:rPr>
          <w:rFonts w:ascii="Times New Roman" w:hAnsi="Times New Roman"/>
        </w:rPr>
        <w:t xml:space="preserve">. at 5. In the course of nominally employing the </w:t>
      </w:r>
      <w:r w:rsidRPr="00D45569">
        <w:rPr>
          <w:rFonts w:ascii="Times New Roman" w:hAnsi="Times New Roman"/>
          <w:i/>
        </w:rPr>
        <w:t>Robertson</w:t>
      </w:r>
      <w:r w:rsidRPr="00D45569">
        <w:rPr>
          <w:rFonts w:ascii="Times New Roman" w:hAnsi="Times New Roman"/>
        </w:rPr>
        <w:t xml:space="preserve"> analysis, the court observed:</w:t>
      </w:r>
    </w:p>
    <w:p w14:paraId="7D5C18DC" w14:textId="77777777" w:rsidR="00D45569" w:rsidRPr="00D45569" w:rsidRDefault="00D45569" w:rsidP="00D45569">
      <w:pPr>
        <w:ind w:left="720" w:right="720"/>
        <w:rPr>
          <w:rFonts w:ascii="Times New Roman" w:hAnsi="Times New Roman"/>
        </w:rPr>
      </w:pPr>
      <w:r w:rsidRPr="00D45569">
        <w:rPr>
          <w:rFonts w:ascii="Times New Roman" w:hAnsi="Times New Roman"/>
        </w:rPr>
        <w:t>Lobbying is political speech, and being a lobbyist is the act of being a communicator to the legislature on political subjects</w:t>
      </w:r>
      <w:proofErr w:type="gramStart"/>
      <w:r w:rsidRPr="00D45569">
        <w:rPr>
          <w:rFonts w:ascii="Times New Roman" w:hAnsi="Times New Roman"/>
        </w:rPr>
        <w:t>….Lobbying</w:t>
      </w:r>
      <w:proofErr w:type="gramEnd"/>
      <w:r w:rsidRPr="00D45569">
        <w:rPr>
          <w:rFonts w:ascii="Times New Roman" w:hAnsi="Times New Roman"/>
        </w:rPr>
        <w:t xml:space="preserve"> is expression, for the purposes of the first </w:t>
      </w:r>
      <w:r w:rsidRPr="00D45569">
        <w:rPr>
          <w:rFonts w:ascii="Times New Roman" w:hAnsi="Times New Roman"/>
          <w:i/>
        </w:rPr>
        <w:t>Robertson</w:t>
      </w:r>
      <w:r w:rsidRPr="00D45569">
        <w:rPr>
          <w:rFonts w:ascii="Times New Roman" w:hAnsi="Times New Roman"/>
        </w:rPr>
        <w:t xml:space="preserve"> category, and [the statute] extracts a fee for engaging in that activity. </w:t>
      </w:r>
      <w:r w:rsidRPr="00D45569">
        <w:rPr>
          <w:rFonts w:ascii="Times New Roman" w:hAnsi="Times New Roman"/>
          <w:i/>
        </w:rPr>
        <w:t>Id</w:t>
      </w:r>
      <w:r w:rsidRPr="00D45569">
        <w:rPr>
          <w:rFonts w:ascii="Times New Roman" w:hAnsi="Times New Roman"/>
        </w:rPr>
        <w:t>. at 8.</w:t>
      </w:r>
    </w:p>
    <w:p w14:paraId="5132B405" w14:textId="77777777" w:rsidR="00D45569" w:rsidRPr="00D45569" w:rsidRDefault="00D45569" w:rsidP="00D45569">
      <w:pPr>
        <w:rPr>
          <w:rFonts w:ascii="Times New Roman" w:hAnsi="Times New Roman"/>
          <w:i/>
        </w:rPr>
      </w:pPr>
      <w:r w:rsidRPr="00D45569">
        <w:rPr>
          <w:rFonts w:ascii="Times New Roman" w:hAnsi="Times New Roman"/>
        </w:rPr>
        <w:t xml:space="preserve">Ultimately, the court struck down the statute as unconstitutional, although the precise grounds are less than fully clear. The Oregon Supreme Court has subsequently suggested that </w:t>
      </w:r>
      <w:proofErr w:type="spellStart"/>
      <w:r w:rsidRPr="00D45569">
        <w:rPr>
          <w:rFonts w:ascii="Times New Roman" w:hAnsi="Times New Roman"/>
          <w:i/>
        </w:rPr>
        <w:t>Fidanque</w:t>
      </w:r>
      <w:proofErr w:type="spellEnd"/>
      <w:r w:rsidRPr="00D45569">
        <w:rPr>
          <w:rFonts w:ascii="Times New Roman" w:hAnsi="Times New Roman"/>
        </w:rPr>
        <w:t xml:space="preserve"> may have turned, not on the absence of an historical exception, but on the amount of the fee in relation to the amount of OGEC’s expenses: </w:t>
      </w:r>
    </w:p>
    <w:p w14:paraId="213106A6" w14:textId="77777777" w:rsidR="00BD1ECD" w:rsidRDefault="00D45569" w:rsidP="00BD1ECD">
      <w:pPr>
        <w:ind w:left="720" w:right="720"/>
        <w:rPr>
          <w:rFonts w:ascii="Times New Roman" w:hAnsi="Times New Roman"/>
        </w:rPr>
      </w:pPr>
      <w:proofErr w:type="spellStart"/>
      <w:r w:rsidRPr="00D45569">
        <w:rPr>
          <w:rFonts w:ascii="Times New Roman" w:hAnsi="Times New Roman"/>
          <w:i/>
        </w:rPr>
        <w:t>Fidanque</w:t>
      </w:r>
      <w:proofErr w:type="spellEnd"/>
      <w:r w:rsidRPr="00D45569">
        <w:rPr>
          <w:rFonts w:ascii="Times New Roman" w:hAnsi="Times New Roman"/>
        </w:rPr>
        <w:t xml:space="preserve"> held that the lobbyist registration fee at issue there was impermissible because</w:t>
      </w:r>
      <w:r w:rsidRPr="00D45569">
        <w:rPr>
          <w:rFonts w:ascii="Times New Roman" w:hAnsi="Times New Roman"/>
          <w:i/>
        </w:rPr>
        <w:t xml:space="preserve"> </w:t>
      </w:r>
      <w:r w:rsidRPr="00D45569">
        <w:rPr>
          <w:rFonts w:ascii="Times New Roman" w:hAnsi="Times New Roman"/>
        </w:rPr>
        <w:t xml:space="preserve">the statute on its face does not tie the fee to the costs associated with registering lobbyists. However, this court assumed that a fee may be charged for the expenses that the government incurs as the result of a particular communicative activity, such as the expense of providing added police protection for a parade. Here, as noted, ORS 377.729 expressly ties the fee to the cost of the regulatory program, and petitioner does not argue that the fee is unreasonable or exceeds the cost of the program. On this record, we cannot conclude that the fee requirement is an impermissible restriction on speech. </w:t>
      </w:r>
      <w:r w:rsidRPr="00D45569">
        <w:rPr>
          <w:rFonts w:ascii="Times New Roman" w:hAnsi="Times New Roman"/>
          <w:i/>
        </w:rPr>
        <w:t>Outdoor Media Dimensions v. DOT</w:t>
      </w:r>
      <w:r w:rsidRPr="00D45569">
        <w:rPr>
          <w:rFonts w:ascii="Times New Roman" w:hAnsi="Times New Roman"/>
        </w:rPr>
        <w:t>, 340 Or. 275, 290-291 (2006) (internal quotations omitted).</w:t>
      </w:r>
    </w:p>
    <w:p w14:paraId="70D8D82E" w14:textId="77777777" w:rsidR="00E12144" w:rsidRDefault="00E12144" w:rsidP="00E12144">
      <w:pPr>
        <w:rPr>
          <w:rFonts w:ascii="Times New Roman" w:hAnsi="Times New Roman"/>
        </w:rPr>
      </w:pPr>
      <w:r>
        <w:rPr>
          <w:rFonts w:ascii="Times New Roman" w:hAnsi="Times New Roman"/>
        </w:rPr>
        <w:lastRenderedPageBreak/>
        <w:t xml:space="preserve">The reasoning employed by the Oregon Supreme Court </w:t>
      </w:r>
      <w:r w:rsidR="00DC791B">
        <w:rPr>
          <w:rFonts w:ascii="Times New Roman" w:hAnsi="Times New Roman"/>
        </w:rPr>
        <w:t xml:space="preserve">in </w:t>
      </w:r>
      <w:proofErr w:type="spellStart"/>
      <w:r w:rsidR="00DC791B">
        <w:rPr>
          <w:rFonts w:ascii="Times New Roman" w:hAnsi="Times New Roman"/>
          <w:i/>
        </w:rPr>
        <w:t>Fidanque</w:t>
      </w:r>
      <w:proofErr w:type="spellEnd"/>
      <w:r w:rsidR="00DC791B">
        <w:rPr>
          <w:rFonts w:ascii="Times New Roman" w:hAnsi="Times New Roman"/>
        </w:rPr>
        <w:t xml:space="preserve"> </w:t>
      </w:r>
      <w:r>
        <w:rPr>
          <w:rFonts w:ascii="Times New Roman" w:hAnsi="Times New Roman"/>
        </w:rPr>
        <w:t>does, however, have real implications. As one commentator has noted:</w:t>
      </w:r>
    </w:p>
    <w:p w14:paraId="49EA60A9" w14:textId="77777777" w:rsidR="00E12144" w:rsidRDefault="00DC791B" w:rsidP="00E12144">
      <w:pPr>
        <w:ind w:left="720" w:right="720"/>
        <w:rPr>
          <w:rFonts w:ascii="Times New Roman" w:hAnsi="Times New Roman"/>
        </w:rPr>
      </w:pPr>
      <w:r>
        <w:rPr>
          <w:rFonts w:ascii="Times New Roman" w:hAnsi="Times New Roman"/>
        </w:rPr>
        <w:t xml:space="preserve">It is difficult to discern which Robertson category the court used to analyze the statute in </w:t>
      </w:r>
      <w:proofErr w:type="spellStart"/>
      <w:r>
        <w:rPr>
          <w:rFonts w:ascii="Times New Roman" w:hAnsi="Times New Roman"/>
        </w:rPr>
        <w:t>Fidanque</w:t>
      </w:r>
      <w:proofErr w:type="spellEnd"/>
      <w:r w:rsidR="00E12144" w:rsidRPr="00D45569">
        <w:rPr>
          <w:rFonts w:ascii="Times New Roman" w:hAnsi="Times New Roman"/>
        </w:rPr>
        <w:t xml:space="preserve">...in a footnote, the court indicated that there is no historical exception to justify this regulation…. if the court did analyze the statute under the first Robertson category, it is questionable whether any regulation of lobbying would be constitutional. </w:t>
      </w:r>
      <w:r w:rsidR="00E12144" w:rsidRPr="00D45569">
        <w:rPr>
          <w:rFonts w:ascii="Times New Roman" w:hAnsi="Times New Roman"/>
          <w:i/>
        </w:rPr>
        <w:t>Article: Oregon Government Ethics Law Reform</w:t>
      </w:r>
      <w:r w:rsidR="00E12144" w:rsidRPr="00D45569">
        <w:rPr>
          <w:rFonts w:ascii="Times New Roman" w:hAnsi="Times New Roman"/>
        </w:rPr>
        <w:t xml:space="preserve">, 44 Willamette L. Rev. 399, 437 (2007), Johnson et. al. </w:t>
      </w:r>
    </w:p>
    <w:p w14:paraId="3F8B084A" w14:textId="77777777" w:rsidR="002D2C21" w:rsidRDefault="00D45569" w:rsidP="00E12144">
      <w:pPr>
        <w:rPr>
          <w:rFonts w:ascii="Times New Roman" w:hAnsi="Times New Roman"/>
        </w:rPr>
      </w:pPr>
      <w:r w:rsidRPr="00D45569">
        <w:rPr>
          <w:rFonts w:ascii="Times New Roman" w:hAnsi="Times New Roman"/>
        </w:rPr>
        <w:t>More recently,</w:t>
      </w:r>
      <w:r w:rsidR="00E12144">
        <w:rPr>
          <w:rFonts w:ascii="Times New Roman" w:hAnsi="Times New Roman"/>
        </w:rPr>
        <w:t xml:space="preserve"> in upholding gift limits to public officials,</w:t>
      </w:r>
      <w:r w:rsidR="002D2C21">
        <w:rPr>
          <w:rFonts w:ascii="Times New Roman" w:hAnsi="Times New Roman"/>
        </w:rPr>
        <w:t xml:space="preserve"> the Oregon Supreme Court has described </w:t>
      </w:r>
      <w:proofErr w:type="spellStart"/>
      <w:r w:rsidR="002D2C21" w:rsidRPr="002D2C21">
        <w:rPr>
          <w:rFonts w:ascii="Times New Roman" w:hAnsi="Times New Roman"/>
          <w:i/>
        </w:rPr>
        <w:t>Fidanque</w:t>
      </w:r>
      <w:proofErr w:type="spellEnd"/>
      <w:r w:rsidR="002D2C21" w:rsidRPr="002D2C21">
        <w:rPr>
          <w:rFonts w:ascii="Times New Roman" w:hAnsi="Times New Roman"/>
          <w:i/>
        </w:rPr>
        <w:t xml:space="preserve"> </w:t>
      </w:r>
      <w:r w:rsidR="002D2C21">
        <w:rPr>
          <w:rFonts w:ascii="Times New Roman" w:hAnsi="Times New Roman"/>
        </w:rPr>
        <w:t xml:space="preserve">in a slightly different fashion: </w:t>
      </w:r>
    </w:p>
    <w:p w14:paraId="53C9D101" w14:textId="77777777" w:rsidR="002D2C21" w:rsidRDefault="002D2C21" w:rsidP="00E12144">
      <w:pPr>
        <w:ind w:left="720" w:right="720"/>
        <w:rPr>
          <w:rFonts w:ascii="Times New Roman" w:hAnsi="Times New Roman"/>
        </w:rPr>
      </w:pPr>
      <w:r>
        <w:rPr>
          <w:rFonts w:ascii="Times New Roman" w:hAnsi="Times New Roman"/>
        </w:rPr>
        <w:t xml:space="preserve">Although </w:t>
      </w:r>
      <w:proofErr w:type="spellStart"/>
      <w:r>
        <w:rPr>
          <w:rFonts w:ascii="Times New Roman" w:hAnsi="Times New Roman"/>
          <w:i/>
        </w:rPr>
        <w:t>Fidanque</w:t>
      </w:r>
      <w:proofErr w:type="spellEnd"/>
      <w:r>
        <w:rPr>
          <w:rFonts w:ascii="Times New Roman" w:hAnsi="Times New Roman"/>
        </w:rPr>
        <w:t xml:space="preserve"> properly recognized that lobbying the legislature is primarily expressive</w:t>
      </w:r>
      <w:r w:rsidR="00E12144">
        <w:rPr>
          <w:rFonts w:ascii="Times New Roman" w:hAnsi="Times New Roman"/>
        </w:rPr>
        <w:t>, that case does not aid plaintiffs here, because it did not examine specific types of lobbying activities to determine whether they involved constitutionally protected expression and, to the extent they involve expression, whether they are subject to legislative regulation.</w:t>
      </w:r>
      <w:r>
        <w:rPr>
          <w:rFonts w:ascii="Times New Roman" w:hAnsi="Times New Roman"/>
        </w:rPr>
        <w:t xml:space="preserve"> </w:t>
      </w:r>
      <w:proofErr w:type="spellStart"/>
      <w:r w:rsidR="00E12144" w:rsidRPr="00D45569">
        <w:rPr>
          <w:rFonts w:ascii="Times New Roman" w:hAnsi="Times New Roman"/>
          <w:i/>
        </w:rPr>
        <w:t>Vannatta</w:t>
      </w:r>
      <w:proofErr w:type="spellEnd"/>
      <w:r w:rsidR="00E12144" w:rsidRPr="00D45569">
        <w:rPr>
          <w:rFonts w:ascii="Times New Roman" w:hAnsi="Times New Roman"/>
          <w:i/>
        </w:rPr>
        <w:t xml:space="preserve"> v. Oregon Government Ethics Commission</w:t>
      </w:r>
      <w:r w:rsidR="00E12144" w:rsidRPr="00D45569">
        <w:rPr>
          <w:rFonts w:ascii="Times New Roman" w:hAnsi="Times New Roman"/>
        </w:rPr>
        <w:t>, 347 Or. 449, 460 (2009)</w:t>
      </w:r>
      <w:r w:rsidR="00E12144">
        <w:rPr>
          <w:rFonts w:ascii="Times New Roman" w:hAnsi="Times New Roman"/>
        </w:rPr>
        <w:t xml:space="preserve"> (internal citations omitted)</w:t>
      </w:r>
      <w:r w:rsidR="00E12144" w:rsidRPr="00D45569">
        <w:rPr>
          <w:rFonts w:ascii="Times New Roman" w:hAnsi="Times New Roman"/>
        </w:rPr>
        <w:t>.</w:t>
      </w:r>
    </w:p>
    <w:p w14:paraId="0063F034" w14:textId="77777777" w:rsidR="00406C75" w:rsidRDefault="008453B7" w:rsidP="000C31EE">
      <w:pPr>
        <w:rPr>
          <w:rFonts w:ascii="Times New Roman" w:hAnsi="Times New Roman"/>
        </w:rPr>
      </w:pPr>
      <w:r>
        <w:rPr>
          <w:rFonts w:ascii="Times New Roman" w:hAnsi="Times New Roman"/>
        </w:rPr>
        <w:t>While t</w:t>
      </w:r>
      <w:r w:rsidR="00DC791B">
        <w:rPr>
          <w:rFonts w:ascii="Times New Roman" w:hAnsi="Times New Roman"/>
        </w:rPr>
        <w:t xml:space="preserve">his understanding of </w:t>
      </w:r>
      <w:proofErr w:type="spellStart"/>
      <w:r w:rsidR="00DC791B">
        <w:rPr>
          <w:rFonts w:ascii="Times New Roman" w:hAnsi="Times New Roman"/>
          <w:i/>
        </w:rPr>
        <w:t>Fidanque</w:t>
      </w:r>
      <w:proofErr w:type="spellEnd"/>
      <w:r w:rsidR="00DC791B">
        <w:rPr>
          <w:rFonts w:ascii="Times New Roman" w:hAnsi="Times New Roman"/>
        </w:rPr>
        <w:t xml:space="preserve"> suggests a potentially more nuanc</w:t>
      </w:r>
      <w:r w:rsidR="00DD7701">
        <w:rPr>
          <w:rFonts w:ascii="Times New Roman" w:hAnsi="Times New Roman"/>
        </w:rPr>
        <w:t>ed analysis going forward, it may be</w:t>
      </w:r>
      <w:r w:rsidR="00DC791B">
        <w:rPr>
          <w:rFonts w:ascii="Times New Roman" w:hAnsi="Times New Roman"/>
        </w:rPr>
        <w:t xml:space="preserve"> worth noting that</w:t>
      </w:r>
      <w:r>
        <w:rPr>
          <w:rFonts w:ascii="Times New Roman" w:hAnsi="Times New Roman"/>
        </w:rPr>
        <w:t xml:space="preserve"> the gift limit statues at issue in </w:t>
      </w:r>
      <w:proofErr w:type="spellStart"/>
      <w:r>
        <w:rPr>
          <w:rFonts w:ascii="Times New Roman" w:hAnsi="Times New Roman"/>
          <w:i/>
        </w:rPr>
        <w:t>Vanatta</w:t>
      </w:r>
      <w:proofErr w:type="spellEnd"/>
      <w:r w:rsidR="00DD7701">
        <w:rPr>
          <w:rFonts w:ascii="Times New Roman" w:hAnsi="Times New Roman"/>
        </w:rPr>
        <w:t xml:space="preserve"> weren</w:t>
      </w:r>
      <w:r>
        <w:rPr>
          <w:rFonts w:ascii="Times New Roman" w:hAnsi="Times New Roman"/>
        </w:rPr>
        <w:t xml:space="preserve">’t limited to lobbyists per se, but applied to individuals with a “legislative or administrative interest.” </w:t>
      </w:r>
    </w:p>
    <w:p w14:paraId="1502B064" w14:textId="77777777" w:rsidR="00406C75" w:rsidRDefault="00316A4C" w:rsidP="000C31EE">
      <w:pPr>
        <w:rPr>
          <w:rFonts w:ascii="Times New Roman" w:hAnsi="Times New Roman"/>
        </w:rPr>
      </w:pPr>
      <w:r>
        <w:rPr>
          <w:rFonts w:ascii="Times New Roman" w:hAnsi="Times New Roman"/>
          <w:b/>
        </w:rPr>
        <w:t>Ot</w:t>
      </w:r>
      <w:r w:rsidR="008D7B78">
        <w:rPr>
          <w:rFonts w:ascii="Times New Roman" w:hAnsi="Times New Roman"/>
          <w:b/>
        </w:rPr>
        <w:t>her state approaches</w:t>
      </w:r>
    </w:p>
    <w:p w14:paraId="2335BA55" w14:textId="77777777" w:rsidR="00316A4C" w:rsidRDefault="00316A4C" w:rsidP="000C31EE">
      <w:pPr>
        <w:rPr>
          <w:rFonts w:ascii="Times New Roman" w:hAnsi="Times New Roman"/>
        </w:rPr>
      </w:pPr>
      <w:r>
        <w:rPr>
          <w:rFonts w:ascii="Times New Roman" w:hAnsi="Times New Roman"/>
        </w:rPr>
        <w:t>While many other states include lobbyists as</w:t>
      </w:r>
      <w:r w:rsidR="00DC791B">
        <w:rPr>
          <w:rFonts w:ascii="Times New Roman" w:hAnsi="Times New Roman"/>
        </w:rPr>
        <w:t xml:space="preserve"> a</w:t>
      </w:r>
      <w:r w:rsidR="008453B7">
        <w:rPr>
          <w:rFonts w:ascii="Times New Roman" w:hAnsi="Times New Roman"/>
        </w:rPr>
        <w:t xml:space="preserve"> potential respondent to an allegation of sexual harassment</w:t>
      </w:r>
      <w:r>
        <w:rPr>
          <w:rFonts w:ascii="Times New Roman" w:hAnsi="Times New Roman"/>
        </w:rPr>
        <w:t>, several of these states are silent on the precise remedy. A selection of state approaches is included below.</w:t>
      </w:r>
    </w:p>
    <w:p w14:paraId="5F3A1418" w14:textId="77777777" w:rsidR="00316A4C" w:rsidRDefault="00316A4C" w:rsidP="00316A4C">
      <w:pPr>
        <w:pStyle w:val="ListParagraph"/>
        <w:numPr>
          <w:ilvl w:val="0"/>
          <w:numId w:val="30"/>
        </w:numPr>
        <w:rPr>
          <w:rFonts w:ascii="Times New Roman" w:hAnsi="Times New Roman"/>
        </w:rPr>
      </w:pPr>
      <w:r>
        <w:rPr>
          <w:rFonts w:ascii="Times New Roman" w:hAnsi="Times New Roman"/>
        </w:rPr>
        <w:t>Georgia</w:t>
      </w:r>
      <w:r w:rsidR="009E2813">
        <w:rPr>
          <w:rFonts w:ascii="Times New Roman" w:hAnsi="Times New Roman"/>
        </w:rPr>
        <w:t xml:space="preserve"> – Application to register as a lobbyist requires a statement that the applicant </w:t>
      </w:r>
      <w:r>
        <w:rPr>
          <w:rFonts w:ascii="Times New Roman" w:hAnsi="Times New Roman"/>
        </w:rPr>
        <w:t xml:space="preserve">“has received the </w:t>
      </w:r>
      <w:proofErr w:type="spellStart"/>
      <w:r>
        <w:rPr>
          <w:rFonts w:ascii="Times New Roman" w:hAnsi="Times New Roman"/>
        </w:rPr>
        <w:t>Gerogia</w:t>
      </w:r>
      <w:proofErr w:type="spellEnd"/>
      <w:r>
        <w:rPr>
          <w:rFonts w:ascii="Times New Roman" w:hAnsi="Times New Roman"/>
        </w:rPr>
        <w:t xml:space="preserve"> General Assembly Employee Sexual Harassment Policy set forth in the Georgia General Assembly Handbook, has read and understands the policy, and agrees to abide by the policy.” O.C.G.A. </w:t>
      </w:r>
      <w:r w:rsidR="009E2813">
        <w:rPr>
          <w:rFonts w:ascii="Times New Roman" w:hAnsi="Times New Roman"/>
        </w:rPr>
        <w:t xml:space="preserve">§21-5-71 (b)(9). </w:t>
      </w:r>
    </w:p>
    <w:p w14:paraId="5221B821" w14:textId="77777777" w:rsidR="009E2813" w:rsidRDefault="009E2813" w:rsidP="00316A4C">
      <w:pPr>
        <w:pStyle w:val="ListParagraph"/>
        <w:numPr>
          <w:ilvl w:val="0"/>
          <w:numId w:val="30"/>
        </w:numPr>
        <w:rPr>
          <w:rFonts w:ascii="Times New Roman" w:hAnsi="Times New Roman"/>
        </w:rPr>
      </w:pPr>
      <w:r>
        <w:rPr>
          <w:rFonts w:ascii="Times New Roman" w:hAnsi="Times New Roman"/>
        </w:rPr>
        <w:t>Illinois – Ethics Commission is given jurisdiction over registered lobbyists alleged to have engaged in sexual harassment. 5 ILCS 430/20-15. Substantively, certain lobbyists are required to complete sexual harassment training within 30 days of registering or renewing a registration</w:t>
      </w:r>
      <w:r w:rsidR="002C366E">
        <w:rPr>
          <w:rFonts w:ascii="Times New Roman" w:hAnsi="Times New Roman"/>
        </w:rPr>
        <w:t>, are required to have a written sexual harassment policy that contains specified elements</w:t>
      </w:r>
      <w:r w:rsidR="00DD7701">
        <w:rPr>
          <w:rFonts w:ascii="Times New Roman" w:hAnsi="Times New Roman"/>
        </w:rPr>
        <w:t>, including a reporting mechanism,</w:t>
      </w:r>
      <w:r w:rsidR="002C366E">
        <w:rPr>
          <w:rFonts w:ascii="Times New Roman" w:hAnsi="Times New Roman"/>
        </w:rPr>
        <w:t xml:space="preserve"> and are required to “recognize[] the Inspector General has jurisdiction to review any allegations of sexual harassment alleged…” 25 ILCS 170/4.7; 25 ILCS 170/5. Enforcement of these obligations includes a $5,000 fine and a potential three-year lobbying ban. 5 ILCS 430/50-5; 25 ILCS 170/10. </w:t>
      </w:r>
      <w:r>
        <w:rPr>
          <w:rFonts w:ascii="Times New Roman" w:hAnsi="Times New Roman"/>
        </w:rPr>
        <w:t xml:space="preserve"> </w:t>
      </w:r>
    </w:p>
    <w:p w14:paraId="72A1BAE7" w14:textId="77777777" w:rsidR="00316A4C" w:rsidRDefault="00316A4C" w:rsidP="00316A4C">
      <w:pPr>
        <w:pStyle w:val="ListParagraph"/>
        <w:numPr>
          <w:ilvl w:val="0"/>
          <w:numId w:val="30"/>
        </w:numPr>
        <w:rPr>
          <w:rFonts w:ascii="Times New Roman" w:hAnsi="Times New Roman"/>
        </w:rPr>
      </w:pPr>
      <w:r>
        <w:rPr>
          <w:rFonts w:ascii="Times New Roman" w:hAnsi="Times New Roman"/>
        </w:rPr>
        <w:t xml:space="preserve">Massachusetts </w:t>
      </w:r>
      <w:r w:rsidR="008453B7">
        <w:rPr>
          <w:rFonts w:ascii="Times New Roman" w:hAnsi="Times New Roman"/>
        </w:rPr>
        <w:t xml:space="preserve">– A report </w:t>
      </w:r>
      <w:r>
        <w:rPr>
          <w:rFonts w:ascii="Times New Roman" w:hAnsi="Times New Roman"/>
        </w:rPr>
        <w:t xml:space="preserve">recommends that, for all third parties, the HR Officer “should bring the incident to the attention of the third party’s employer or the appropriate regulatory authority.” </w:t>
      </w:r>
    </w:p>
    <w:p w14:paraId="418C25DB" w14:textId="77777777" w:rsidR="002C366E" w:rsidRDefault="002C366E" w:rsidP="00316A4C">
      <w:pPr>
        <w:pStyle w:val="ListParagraph"/>
        <w:numPr>
          <w:ilvl w:val="0"/>
          <w:numId w:val="30"/>
        </w:numPr>
        <w:rPr>
          <w:rFonts w:ascii="Times New Roman" w:hAnsi="Times New Roman"/>
        </w:rPr>
      </w:pPr>
      <w:r>
        <w:rPr>
          <w:rFonts w:ascii="Times New Roman" w:hAnsi="Times New Roman"/>
        </w:rPr>
        <w:t xml:space="preserve">Maryland – An existing requirement that the Ethics Commission provide ethics training for regulated lobbyists was expanded to include training on discrimination and harassment. Md. Code Gen. §5-205. In addition, the Ethics Commission is authorized to punish harassment or discrimination by a lobbyist with a $5,000 fine and possible suspension of the license to lobby. Md. Code Gen. §5-405 and 5-714. </w:t>
      </w:r>
    </w:p>
    <w:p w14:paraId="389518CD" w14:textId="77777777" w:rsidR="002C366E" w:rsidRPr="002C366E" w:rsidRDefault="002C366E" w:rsidP="002C366E">
      <w:pPr>
        <w:pStyle w:val="ListParagraph"/>
        <w:numPr>
          <w:ilvl w:val="0"/>
          <w:numId w:val="30"/>
        </w:numPr>
        <w:rPr>
          <w:rFonts w:ascii="Times New Roman" w:hAnsi="Times New Roman"/>
        </w:rPr>
      </w:pPr>
      <w:r>
        <w:rPr>
          <w:rFonts w:ascii="Times New Roman" w:hAnsi="Times New Roman"/>
        </w:rPr>
        <w:lastRenderedPageBreak/>
        <w:t>Nevada – If a sexual harassment complaint against a lobbyist is substantiated, “appropriate disciplinary action may be brought against the lobbyist which may include, without limitation, having his or her registration as a lobbyist suspended.</w:t>
      </w:r>
      <w:r w:rsidR="00DD7701">
        <w:rPr>
          <w:rFonts w:ascii="Times New Roman" w:hAnsi="Times New Roman"/>
        </w:rPr>
        <w:t>”</w:t>
      </w:r>
      <w:r>
        <w:rPr>
          <w:rFonts w:ascii="Times New Roman" w:hAnsi="Times New Roman"/>
        </w:rPr>
        <w:t xml:space="preserve"> Joint Standing Rule 20.5. </w:t>
      </w:r>
      <w:r w:rsidRPr="002C366E">
        <w:rPr>
          <w:rFonts w:ascii="Times New Roman" w:hAnsi="Times New Roman"/>
        </w:rPr>
        <w:t xml:space="preserve"> </w:t>
      </w:r>
    </w:p>
    <w:p w14:paraId="4AE54CEF" w14:textId="77777777" w:rsidR="00316A4C" w:rsidRPr="00316A4C" w:rsidRDefault="00316A4C" w:rsidP="000C31EE">
      <w:pPr>
        <w:rPr>
          <w:rFonts w:ascii="Times New Roman" w:hAnsi="Times New Roman"/>
        </w:rPr>
      </w:pPr>
      <w:r>
        <w:rPr>
          <w:rFonts w:ascii="Times New Roman" w:hAnsi="Times New Roman"/>
        </w:rPr>
        <w:tab/>
      </w:r>
    </w:p>
    <w:p w14:paraId="59C54C35" w14:textId="77777777" w:rsidR="00406C75" w:rsidRDefault="00406C75" w:rsidP="000C31EE">
      <w:pPr>
        <w:rPr>
          <w:rFonts w:ascii="Times New Roman" w:hAnsi="Times New Roman"/>
        </w:rPr>
      </w:pPr>
    </w:p>
    <w:p w14:paraId="01096FDD" w14:textId="77777777" w:rsidR="00406C75" w:rsidRDefault="00406C75" w:rsidP="000C31EE">
      <w:pPr>
        <w:rPr>
          <w:rFonts w:ascii="Times New Roman" w:hAnsi="Times New Roman"/>
        </w:rPr>
      </w:pPr>
    </w:p>
    <w:p w14:paraId="62152642" w14:textId="77777777" w:rsidR="00D45569" w:rsidRPr="00E12144" w:rsidRDefault="00E12144" w:rsidP="000C31EE">
      <w:pPr>
        <w:rPr>
          <w:rFonts w:ascii="Times New Roman" w:hAnsi="Times New Roman"/>
        </w:rPr>
      </w:pPr>
      <w:r>
        <w:rPr>
          <w:rFonts w:ascii="Times New Roman" w:hAnsi="Times New Roman"/>
        </w:rPr>
        <w:t xml:space="preserve"> </w:t>
      </w:r>
    </w:p>
    <w:sectPr w:rsidR="00D45569" w:rsidRPr="00E12144" w:rsidSect="006F57FD">
      <w:headerReference w:type="even" r:id="rId10"/>
      <w:headerReference w:type="default" r:id="rId11"/>
      <w:footerReference w:type="even" r:id="rId12"/>
      <w:footerReference w:type="default" r:id="rId13"/>
      <w:headerReference w:type="first" r:id="rId14"/>
      <w:footerReference w:type="first" r:id="rId15"/>
      <w:pgSz w:w="12240" w:h="15840" w:code="1"/>
      <w:pgMar w:top="180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D9B77" w14:textId="77777777" w:rsidR="00267019" w:rsidRDefault="00267019" w:rsidP="00785540">
      <w:pPr>
        <w:spacing w:before="0"/>
      </w:pPr>
      <w:r>
        <w:separator/>
      </w:r>
    </w:p>
  </w:endnote>
  <w:endnote w:type="continuationSeparator" w:id="0">
    <w:p w14:paraId="4ACEDCD5" w14:textId="77777777" w:rsidR="00267019" w:rsidRDefault="00267019"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00000001" w:usb1="080E0000" w:usb2="00000010" w:usb3="00000000" w:csb0="00040000" w:csb1="00000000"/>
  </w:font>
  <w:font w:name="Segoe UI">
    <w:altName w:val="Calibr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16E3" w14:textId="77777777" w:rsidR="00B336C5" w:rsidRDefault="00E05653">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370ED915" w14:textId="77777777" w:rsidR="00B336C5" w:rsidRDefault="00267019">
    <w:pPr>
      <w:pStyle w:val="Footer"/>
    </w:pPr>
  </w:p>
  <w:p w14:paraId="4FAAD391" w14:textId="77777777" w:rsidR="00B336C5" w:rsidRDefault="002670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0068" w14:textId="77777777" w:rsidR="00B336C5" w:rsidRDefault="00E05653">
    <w:pPr>
      <w:pStyle w:val="Footer"/>
    </w:pPr>
    <w:r>
      <w:fldChar w:fldCharType="begin"/>
    </w:r>
    <w:r>
      <w:instrText xml:space="preserve"> PAGE </w:instrText>
    </w:r>
    <w:r>
      <w:fldChar w:fldCharType="separate"/>
    </w:r>
    <w:r w:rsidR="008D7B7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25FA" w14:textId="77777777" w:rsidR="00441559" w:rsidRDefault="00441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27984" w14:textId="77777777" w:rsidR="00267019" w:rsidRDefault="00267019" w:rsidP="00785540">
      <w:pPr>
        <w:spacing w:before="0"/>
      </w:pPr>
      <w:r>
        <w:separator/>
      </w:r>
    </w:p>
  </w:footnote>
  <w:footnote w:type="continuationSeparator" w:id="0">
    <w:p w14:paraId="4B282D73" w14:textId="77777777" w:rsidR="00267019" w:rsidRDefault="00267019" w:rsidP="007855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4BD2" w14:textId="77777777" w:rsidR="00441559" w:rsidRDefault="00441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36" w14:textId="77777777" w:rsidR="00441559" w:rsidRDefault="00441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F43E" w14:textId="77777777" w:rsidR="00441559" w:rsidRDefault="00441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00BE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2C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803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00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F68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1F7063"/>
    <w:multiLevelType w:val="hybridMultilevel"/>
    <w:tmpl w:val="FAAC1B52"/>
    <w:lvl w:ilvl="0" w:tplc="F410A88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9C5E40"/>
    <w:multiLevelType w:val="hybridMultilevel"/>
    <w:tmpl w:val="237C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9D6A0E"/>
    <w:multiLevelType w:val="hybridMultilevel"/>
    <w:tmpl w:val="24A412AA"/>
    <w:lvl w:ilvl="0" w:tplc="B9745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E3431"/>
    <w:multiLevelType w:val="hybridMultilevel"/>
    <w:tmpl w:val="14A2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02FA1"/>
    <w:multiLevelType w:val="hybridMultilevel"/>
    <w:tmpl w:val="A3A6C84E"/>
    <w:lvl w:ilvl="0" w:tplc="52ACEF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BE14A8"/>
    <w:multiLevelType w:val="hybridMultilevel"/>
    <w:tmpl w:val="70C6F2F0"/>
    <w:lvl w:ilvl="0" w:tplc="94E46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E76D6E"/>
    <w:multiLevelType w:val="multilevel"/>
    <w:tmpl w:val="9DD0D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F730CB5"/>
    <w:multiLevelType w:val="multilevel"/>
    <w:tmpl w:val="5F58368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0550FB"/>
    <w:multiLevelType w:val="multilevel"/>
    <w:tmpl w:val="4E4625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98F3528"/>
    <w:multiLevelType w:val="multilevel"/>
    <w:tmpl w:val="ACF4B7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F104EA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25"/>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28"/>
  </w:num>
  <w:num w:numId="17">
    <w:abstractNumId w:val="27"/>
  </w:num>
  <w:num w:numId="18">
    <w:abstractNumId w:val="22"/>
  </w:num>
  <w:num w:numId="19">
    <w:abstractNumId w:val="24"/>
  </w:num>
  <w:num w:numId="20">
    <w:abstractNumId w:val="10"/>
  </w:num>
  <w:num w:numId="21">
    <w:abstractNumId w:val="14"/>
  </w:num>
  <w:num w:numId="22">
    <w:abstractNumId w:val="12"/>
  </w:num>
  <w:num w:numId="23">
    <w:abstractNumId w:val="15"/>
  </w:num>
  <w:num w:numId="24">
    <w:abstractNumId w:val="29"/>
  </w:num>
  <w:num w:numId="25">
    <w:abstractNumId w:val="11"/>
  </w:num>
  <w:num w:numId="26">
    <w:abstractNumId w:val="18"/>
  </w:num>
  <w:num w:numId="27">
    <w:abstractNumId w:val="21"/>
  </w:num>
  <w:num w:numId="28">
    <w:abstractNumId w:val="16"/>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A"/>
    <w:rsid w:val="00003EE9"/>
    <w:rsid w:val="00020B5A"/>
    <w:rsid w:val="0002236B"/>
    <w:rsid w:val="00035007"/>
    <w:rsid w:val="00083A6C"/>
    <w:rsid w:val="000A2017"/>
    <w:rsid w:val="000A38F6"/>
    <w:rsid w:val="000C31EE"/>
    <w:rsid w:val="00144B18"/>
    <w:rsid w:val="0017449C"/>
    <w:rsid w:val="00194A08"/>
    <w:rsid w:val="001F1091"/>
    <w:rsid w:val="002208A7"/>
    <w:rsid w:val="00260234"/>
    <w:rsid w:val="00267019"/>
    <w:rsid w:val="00275547"/>
    <w:rsid w:val="00284827"/>
    <w:rsid w:val="00293B83"/>
    <w:rsid w:val="002A6F84"/>
    <w:rsid w:val="002C366E"/>
    <w:rsid w:val="002D2C21"/>
    <w:rsid w:val="002F488D"/>
    <w:rsid w:val="00300C57"/>
    <w:rsid w:val="00306455"/>
    <w:rsid w:val="00316A4C"/>
    <w:rsid w:val="00323DCD"/>
    <w:rsid w:val="0033342B"/>
    <w:rsid w:val="003660EE"/>
    <w:rsid w:val="00371917"/>
    <w:rsid w:val="00380B60"/>
    <w:rsid w:val="003A2F02"/>
    <w:rsid w:val="003A3C1C"/>
    <w:rsid w:val="003D3E82"/>
    <w:rsid w:val="00406C75"/>
    <w:rsid w:val="00411B25"/>
    <w:rsid w:val="0041684B"/>
    <w:rsid w:val="00441559"/>
    <w:rsid w:val="004627A6"/>
    <w:rsid w:val="0047254F"/>
    <w:rsid w:val="00473729"/>
    <w:rsid w:val="00480295"/>
    <w:rsid w:val="0048716B"/>
    <w:rsid w:val="00497BEE"/>
    <w:rsid w:val="004C75DF"/>
    <w:rsid w:val="004E25ED"/>
    <w:rsid w:val="005020BC"/>
    <w:rsid w:val="00541FB1"/>
    <w:rsid w:val="00560EBC"/>
    <w:rsid w:val="00563296"/>
    <w:rsid w:val="00576BD3"/>
    <w:rsid w:val="00577F61"/>
    <w:rsid w:val="005C1D24"/>
    <w:rsid w:val="005E4EDA"/>
    <w:rsid w:val="005F42F5"/>
    <w:rsid w:val="005F5E29"/>
    <w:rsid w:val="00601F76"/>
    <w:rsid w:val="0061465F"/>
    <w:rsid w:val="006516A8"/>
    <w:rsid w:val="006640AE"/>
    <w:rsid w:val="00672426"/>
    <w:rsid w:val="00675085"/>
    <w:rsid w:val="00697389"/>
    <w:rsid w:val="006A3CE7"/>
    <w:rsid w:val="006A458B"/>
    <w:rsid w:val="006B286C"/>
    <w:rsid w:val="006C6185"/>
    <w:rsid w:val="006E5EE4"/>
    <w:rsid w:val="006F0E0A"/>
    <w:rsid w:val="0074348C"/>
    <w:rsid w:val="0076498A"/>
    <w:rsid w:val="00785540"/>
    <w:rsid w:val="0078785C"/>
    <w:rsid w:val="0079196E"/>
    <w:rsid w:val="007E56A9"/>
    <w:rsid w:val="007E70BC"/>
    <w:rsid w:val="007F32AB"/>
    <w:rsid w:val="008138C2"/>
    <w:rsid w:val="008453B7"/>
    <w:rsid w:val="00845450"/>
    <w:rsid w:val="008769DA"/>
    <w:rsid w:val="00882A38"/>
    <w:rsid w:val="00883235"/>
    <w:rsid w:val="00885C04"/>
    <w:rsid w:val="00886C3B"/>
    <w:rsid w:val="008B7176"/>
    <w:rsid w:val="008B7430"/>
    <w:rsid w:val="008D0081"/>
    <w:rsid w:val="008D7B78"/>
    <w:rsid w:val="008E685A"/>
    <w:rsid w:val="00933B8F"/>
    <w:rsid w:val="00974688"/>
    <w:rsid w:val="0097717E"/>
    <w:rsid w:val="009815C3"/>
    <w:rsid w:val="00985375"/>
    <w:rsid w:val="009901E2"/>
    <w:rsid w:val="009A5D2C"/>
    <w:rsid w:val="009B4EF8"/>
    <w:rsid w:val="009B7B70"/>
    <w:rsid w:val="009E2813"/>
    <w:rsid w:val="009F2EA8"/>
    <w:rsid w:val="00A0789E"/>
    <w:rsid w:val="00A41709"/>
    <w:rsid w:val="00A52562"/>
    <w:rsid w:val="00A7606E"/>
    <w:rsid w:val="00AB4BBF"/>
    <w:rsid w:val="00AC0F6D"/>
    <w:rsid w:val="00AC2F24"/>
    <w:rsid w:val="00AD5C32"/>
    <w:rsid w:val="00AF181F"/>
    <w:rsid w:val="00B07F83"/>
    <w:rsid w:val="00B11796"/>
    <w:rsid w:val="00B17896"/>
    <w:rsid w:val="00B23ED6"/>
    <w:rsid w:val="00B370B7"/>
    <w:rsid w:val="00B84478"/>
    <w:rsid w:val="00B954DC"/>
    <w:rsid w:val="00BB5B36"/>
    <w:rsid w:val="00BC24B7"/>
    <w:rsid w:val="00BD1ECD"/>
    <w:rsid w:val="00BD5AAE"/>
    <w:rsid w:val="00BE5A54"/>
    <w:rsid w:val="00C02BAB"/>
    <w:rsid w:val="00C13FE9"/>
    <w:rsid w:val="00C1480C"/>
    <w:rsid w:val="00C218FA"/>
    <w:rsid w:val="00C36A00"/>
    <w:rsid w:val="00C57A95"/>
    <w:rsid w:val="00C60604"/>
    <w:rsid w:val="00C62395"/>
    <w:rsid w:val="00C7106F"/>
    <w:rsid w:val="00C7231B"/>
    <w:rsid w:val="00C96F07"/>
    <w:rsid w:val="00CA0AAC"/>
    <w:rsid w:val="00CC5E5A"/>
    <w:rsid w:val="00CD0CBD"/>
    <w:rsid w:val="00CE1956"/>
    <w:rsid w:val="00CF5AB0"/>
    <w:rsid w:val="00D0737A"/>
    <w:rsid w:val="00D12515"/>
    <w:rsid w:val="00D207BF"/>
    <w:rsid w:val="00D4179C"/>
    <w:rsid w:val="00D45569"/>
    <w:rsid w:val="00D65473"/>
    <w:rsid w:val="00DB592F"/>
    <w:rsid w:val="00DC791B"/>
    <w:rsid w:val="00DC7EA1"/>
    <w:rsid w:val="00DD7701"/>
    <w:rsid w:val="00DE7E66"/>
    <w:rsid w:val="00E05653"/>
    <w:rsid w:val="00E12144"/>
    <w:rsid w:val="00E3752F"/>
    <w:rsid w:val="00E57DCB"/>
    <w:rsid w:val="00E704D9"/>
    <w:rsid w:val="00E85BA1"/>
    <w:rsid w:val="00E87284"/>
    <w:rsid w:val="00E90ADB"/>
    <w:rsid w:val="00E97F23"/>
    <w:rsid w:val="00EA06EC"/>
    <w:rsid w:val="00EA130D"/>
    <w:rsid w:val="00EB05E1"/>
    <w:rsid w:val="00EB34A6"/>
    <w:rsid w:val="00EB38E6"/>
    <w:rsid w:val="00EE7738"/>
    <w:rsid w:val="00F053AC"/>
    <w:rsid w:val="00F400CD"/>
    <w:rsid w:val="00F73101"/>
    <w:rsid w:val="00F7483B"/>
    <w:rsid w:val="00F7673E"/>
    <w:rsid w:val="00F87BBE"/>
    <w:rsid w:val="00F93C07"/>
    <w:rsid w:val="00FB3A45"/>
    <w:rsid w:val="00FB5D55"/>
    <w:rsid w:val="00FD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9B8BA"/>
  <w15:chartTrackingRefBased/>
  <w15:docId w15:val="{E89EB67C-6E43-B042-B16B-62AA341F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E6"/>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unhideWhenUsed/>
    <w:rsid w:val="00E87284"/>
    <w:rPr>
      <w:color w:val="1F497D" w:themeColor="text2"/>
      <w:u w:val="single"/>
    </w:rPr>
  </w:style>
  <w:style w:type="character" w:styleId="Mention">
    <w:name w:val="Mention"/>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semiHidden/>
    <w:unhideWhenUsed/>
    <w:rsid w:val="00697389"/>
    <w:rPr>
      <w:szCs w:val="20"/>
    </w:rPr>
  </w:style>
  <w:style w:type="character" w:customStyle="1" w:styleId="CommentTextChar">
    <w:name w:val="Comment Text Char"/>
    <w:basedOn w:val="DefaultParagraphFont"/>
    <w:link w:val="CommentText"/>
    <w:uiPriority w:val="99"/>
    <w:semiHidden/>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 w:type="character" w:styleId="FootnoteReference">
    <w:name w:val="footnote reference"/>
    <w:basedOn w:val="DefaultParagraphFont"/>
    <w:uiPriority w:val="99"/>
    <w:semiHidden/>
    <w:unhideWhenUsed/>
    <w:rsid w:val="00C218FA"/>
    <w:rPr>
      <w:vertAlign w:val="superscript"/>
    </w:rPr>
  </w:style>
  <w:style w:type="character" w:customStyle="1" w:styleId="UnresolvedMention1">
    <w:name w:val="Unresolved Mention1"/>
    <w:basedOn w:val="DefaultParagraphFont"/>
    <w:uiPriority w:val="99"/>
    <w:semiHidden/>
    <w:unhideWhenUsed/>
    <w:rsid w:val="00C218FA"/>
    <w:rPr>
      <w:color w:val="808080"/>
      <w:shd w:val="clear" w:color="auto" w:fill="E6E6E6"/>
    </w:rPr>
  </w:style>
  <w:style w:type="paragraph" w:styleId="ListParagraph">
    <w:name w:val="List Paragraph"/>
    <w:basedOn w:val="Normal"/>
    <w:uiPriority w:val="34"/>
    <w:unhideWhenUsed/>
    <w:qFormat/>
    <w:rsid w:val="008138C2"/>
    <w:pPr>
      <w:ind w:left="720"/>
      <w:contextualSpacing/>
    </w:pPr>
  </w:style>
  <w:style w:type="table" w:styleId="TableGrid">
    <w:name w:val="Table Grid"/>
    <w:basedOn w:val="TableNormal"/>
    <w:uiPriority w:val="39"/>
    <w:rsid w:val="001F10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286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3.xm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1271-84E9-4743-9F46-947AB6F6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Yates</cp:lastModifiedBy>
  <cp:revision>2</cp:revision>
  <cp:lastPrinted>2018-10-17T16:42:00Z</cp:lastPrinted>
  <dcterms:created xsi:type="dcterms:W3CDTF">2019-10-28T21:08:00Z</dcterms:created>
  <dcterms:modified xsi:type="dcterms:W3CDTF">2019-10-28T21:08:00Z</dcterms:modified>
</cp:coreProperties>
</file>